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47168A" w:rsidRDefault="00C32E22" w14:paraId="7D46F309" w14:textId="2924EFF0">
      <w:pPr>
        <w:rPr>
          <w:rFonts w:ascii="Arial" w:hAnsi="Arial" w:cs="Arial"/>
          <w:b/>
          <w:sz w:val="24"/>
          <w:szCs w:val="24"/>
          <w:u w:val="single"/>
        </w:rPr>
      </w:pPr>
      <w:r w:rsidRPr="0047168A"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AF96D6" wp14:editId="42D6E459">
                <wp:simplePos x="0" y="0"/>
                <wp:positionH relativeFrom="column">
                  <wp:posOffset>2400300</wp:posOffset>
                </wp:positionH>
                <wp:positionV relativeFrom="paragraph">
                  <wp:posOffset>10795</wp:posOffset>
                </wp:positionV>
                <wp:extent cx="3676650" cy="762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68A" w:rsidP="00C32E22" w:rsidRDefault="00646049" w14:paraId="4437F1FA" w14:textId="03E42E66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GENERAL</w:t>
                            </w:r>
                          </w:p>
                          <w:p w:rsidRPr="00C32E22" w:rsidR="00C32E22" w:rsidP="00C32E22" w:rsidRDefault="00C32E22" w14:paraId="4C4C3550" w14:textId="30533543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EQUALITY AND DIVERSITY </w:t>
                            </w:r>
                            <w:r w:rsidR="00646049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STATEMENT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3AF96D6">
                <v:stroke joinstyle="miter"/>
                <v:path gradientshapeok="t" o:connecttype="rect"/>
              </v:shapetype>
              <v:shape id="Text Box 2" style="position:absolute;margin-left:189pt;margin-top:.85pt;width:289.5pt;height:6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">
                <v:textbox>
                  <w:txbxContent>
                    <w:p w:rsidR="0047168A" w:rsidP="00C32E22" w:rsidRDefault="00646049" w14:paraId="4437F1FA" w14:textId="03E42E66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GENERAL</w:t>
                      </w:r>
                    </w:p>
                    <w:p w:rsidRPr="00C32E22" w:rsidR="00C32E22" w:rsidP="00C32E22" w:rsidRDefault="00C32E22" w14:paraId="4C4C3550" w14:textId="30533543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EQUALITY AND DIVERSITY </w:t>
                      </w:r>
                      <w:r w:rsidR="00646049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STATEMENT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38CF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1EB2B9A" wp14:editId="2B305B6E">
            <wp:simplePos x="0" y="0"/>
            <wp:positionH relativeFrom="column">
              <wp:posOffset>-238125</wp:posOffset>
            </wp:positionH>
            <wp:positionV relativeFrom="paragraph">
              <wp:posOffset>48895</wp:posOffset>
            </wp:positionV>
            <wp:extent cx="2228850" cy="714808"/>
            <wp:effectExtent l="0" t="0" r="0" b="9525"/>
            <wp:wrapNone/>
            <wp:docPr id="1" name="Picture 1" descr="C:\Users\Jane\Downloads\image00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\Downloads\image001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14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6049" w:rsidRDefault="00646049" w14:paraId="25E69695" w14:textId="3ADD8CAE">
      <w:pPr>
        <w:rPr>
          <w:rFonts w:ascii="Arial" w:hAnsi="Arial" w:cs="Arial"/>
          <w:b/>
          <w:sz w:val="24"/>
          <w:szCs w:val="24"/>
          <w:u w:val="single"/>
        </w:rPr>
      </w:pPr>
    </w:p>
    <w:p w:rsidRPr="00646049" w:rsidR="00646049" w:rsidP="00646049" w:rsidRDefault="00646049" w14:paraId="245076AE" w14:textId="77777777">
      <w:pPr>
        <w:rPr>
          <w:rFonts w:ascii="Arial" w:hAnsi="Arial" w:cs="Arial"/>
          <w:sz w:val="24"/>
          <w:szCs w:val="24"/>
        </w:rPr>
      </w:pPr>
    </w:p>
    <w:p w:rsidR="00646049" w:rsidP="00646049" w:rsidRDefault="00646049" w14:paraId="606AB365" w14:textId="3DE5C641">
      <w:pPr>
        <w:rPr>
          <w:rFonts w:ascii="Arial" w:hAnsi="Arial" w:cs="Arial"/>
          <w:sz w:val="24"/>
          <w:szCs w:val="24"/>
        </w:rPr>
      </w:pPr>
    </w:p>
    <w:p w:rsidRPr="002C6072" w:rsidR="00646049" w:rsidP="00646049" w:rsidRDefault="00646049" w14:paraId="44421A14" w14:textId="67110A61">
      <w:pPr>
        <w:jc w:val="both"/>
        <w:rPr>
          <w:rFonts w:cstheme="minorHAnsi"/>
          <w:bCs/>
          <w:sz w:val="24"/>
          <w:szCs w:val="24"/>
        </w:rPr>
      </w:pPr>
      <w:r w:rsidRPr="002C6072">
        <w:rPr>
          <w:rFonts w:cstheme="minorHAnsi"/>
          <w:bCs/>
          <w:sz w:val="24"/>
          <w:szCs w:val="24"/>
        </w:rPr>
        <w:t>At the end of this guide you will find our Policy Statement.</w:t>
      </w:r>
    </w:p>
    <w:p w:rsidRPr="002C6072" w:rsidR="00646049" w:rsidP="00646049" w:rsidRDefault="00646049" w14:paraId="158B77B3" w14:textId="41188494">
      <w:pPr>
        <w:jc w:val="both"/>
        <w:rPr>
          <w:rFonts w:cstheme="minorHAnsi"/>
          <w:bCs/>
          <w:sz w:val="24"/>
          <w:szCs w:val="24"/>
        </w:rPr>
      </w:pPr>
      <w:r w:rsidRPr="002C6072">
        <w:rPr>
          <w:rFonts w:cstheme="minorHAnsi"/>
          <w:bCs/>
          <w:sz w:val="24"/>
          <w:szCs w:val="24"/>
        </w:rPr>
        <w:t>The objective of our policy is to ensure that</w:t>
      </w:r>
      <w:r w:rsidR="002C6072">
        <w:rPr>
          <w:rFonts w:cstheme="minorHAnsi"/>
          <w:bCs/>
          <w:sz w:val="24"/>
          <w:szCs w:val="24"/>
        </w:rPr>
        <w:t xml:space="preserve"> Fountain Care Ltd and Loving Care Ltd (F&amp;LCL)</w:t>
      </w:r>
      <w:r w:rsidRPr="002C6072">
        <w:rPr>
          <w:rFonts w:cstheme="minorHAnsi"/>
          <w:bCs/>
          <w:sz w:val="24"/>
          <w:szCs w:val="24"/>
        </w:rPr>
        <w:t xml:space="preserve"> complies with all relevant equality legislation and that a</w:t>
      </w:r>
      <w:r w:rsidR="002C6072">
        <w:rPr>
          <w:rFonts w:cstheme="minorHAnsi"/>
          <w:bCs/>
          <w:sz w:val="24"/>
          <w:szCs w:val="24"/>
        </w:rPr>
        <w:t xml:space="preserve">s </w:t>
      </w:r>
      <w:r w:rsidRPr="002C6072">
        <w:rPr>
          <w:rFonts w:cstheme="minorHAnsi"/>
          <w:bCs/>
          <w:sz w:val="24"/>
          <w:szCs w:val="24"/>
        </w:rPr>
        <w:t>organisation</w:t>
      </w:r>
      <w:r w:rsidR="002C6072">
        <w:rPr>
          <w:rFonts w:cstheme="minorHAnsi"/>
          <w:bCs/>
          <w:sz w:val="24"/>
          <w:szCs w:val="24"/>
        </w:rPr>
        <w:t>s</w:t>
      </w:r>
      <w:r w:rsidRPr="002C6072">
        <w:rPr>
          <w:rFonts w:cstheme="minorHAnsi"/>
          <w:bCs/>
          <w:sz w:val="24"/>
          <w:szCs w:val="24"/>
        </w:rPr>
        <w:t xml:space="preserve"> we challenge discriminatory practice.</w:t>
      </w:r>
    </w:p>
    <w:p w:rsidRPr="002C6072" w:rsidR="00646049" w:rsidP="00646049" w:rsidRDefault="002C6072" w14:paraId="00CF62A2" w14:textId="59135B1F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F&amp;LCL </w:t>
      </w:r>
      <w:r w:rsidRPr="002C6072" w:rsidR="00646049">
        <w:rPr>
          <w:rFonts w:cstheme="minorHAnsi"/>
          <w:bCs/>
          <w:sz w:val="24"/>
          <w:szCs w:val="24"/>
        </w:rPr>
        <w:t xml:space="preserve">offers training to everyone so that they understand the policy and their role in its implementation.  We regularly collect information from those who have contact with the organisation </w:t>
      </w:r>
      <w:r w:rsidRPr="002C6072">
        <w:rPr>
          <w:rFonts w:cstheme="minorHAnsi"/>
          <w:bCs/>
          <w:sz w:val="24"/>
          <w:szCs w:val="24"/>
        </w:rPr>
        <w:t>for</w:t>
      </w:r>
      <w:r w:rsidRPr="002C6072" w:rsidR="00646049">
        <w:rPr>
          <w:rFonts w:cstheme="minorHAnsi"/>
          <w:bCs/>
          <w:sz w:val="24"/>
          <w:szCs w:val="24"/>
        </w:rPr>
        <w:t xml:space="preserve"> monitoring our compliance with legislation.</w:t>
      </w:r>
    </w:p>
    <w:p w:rsidRPr="002C6072" w:rsidR="00646049" w:rsidP="00646049" w:rsidRDefault="00646049" w14:paraId="522DFC8A" w14:textId="3CD9AF00">
      <w:pPr>
        <w:jc w:val="both"/>
        <w:rPr>
          <w:rFonts w:cstheme="minorHAnsi"/>
          <w:bCs/>
          <w:sz w:val="24"/>
          <w:szCs w:val="24"/>
        </w:rPr>
      </w:pPr>
      <w:r w:rsidRPr="002C6072">
        <w:rPr>
          <w:rFonts w:cstheme="minorHAnsi"/>
          <w:bCs/>
          <w:sz w:val="24"/>
          <w:szCs w:val="24"/>
        </w:rPr>
        <w:t xml:space="preserve">We will </w:t>
      </w:r>
      <w:proofErr w:type="gramStart"/>
      <w:r w:rsidR="002C6072">
        <w:rPr>
          <w:rFonts w:cstheme="minorHAnsi"/>
          <w:bCs/>
          <w:sz w:val="24"/>
          <w:szCs w:val="24"/>
        </w:rPr>
        <w:t>take action</w:t>
      </w:r>
      <w:proofErr w:type="gramEnd"/>
      <w:r w:rsidRPr="002C6072">
        <w:rPr>
          <w:rFonts w:cstheme="minorHAnsi"/>
          <w:bCs/>
          <w:sz w:val="24"/>
          <w:szCs w:val="24"/>
        </w:rPr>
        <w:t xml:space="preserve"> against any form of discrimination that is brought to our attention.</w:t>
      </w:r>
    </w:p>
    <w:p w:rsidRPr="002C6072" w:rsidR="00646049" w:rsidP="00646049" w:rsidRDefault="00646049" w14:paraId="6F3BE5E2" w14:textId="77777777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2C6072">
        <w:rPr>
          <w:rFonts w:cstheme="minorHAnsi"/>
          <w:b/>
          <w:bCs/>
          <w:sz w:val="24"/>
          <w:szCs w:val="24"/>
          <w:u w:val="single"/>
        </w:rPr>
        <w:t>Definitions of Discrimination:</w:t>
      </w:r>
    </w:p>
    <w:p w:rsidRPr="002C6072" w:rsidR="00646049" w:rsidP="00646049" w:rsidRDefault="00646049" w14:paraId="58DA78B4" w14:textId="77777777">
      <w:pPr>
        <w:jc w:val="both"/>
        <w:rPr>
          <w:rFonts w:cstheme="minorHAnsi"/>
          <w:b/>
          <w:bCs/>
          <w:sz w:val="24"/>
          <w:szCs w:val="24"/>
        </w:rPr>
      </w:pPr>
      <w:r w:rsidRPr="002C6072">
        <w:rPr>
          <w:rFonts w:cstheme="minorHAnsi"/>
          <w:b/>
          <w:bCs/>
          <w:sz w:val="24"/>
          <w:szCs w:val="24"/>
        </w:rPr>
        <w:t>DISCRIMINATION:</w:t>
      </w:r>
    </w:p>
    <w:p w:rsidRPr="002C6072" w:rsidR="00646049" w:rsidP="00646049" w:rsidRDefault="00646049" w14:paraId="79051C55" w14:textId="77777777">
      <w:pPr>
        <w:jc w:val="both"/>
        <w:rPr>
          <w:rFonts w:cstheme="minorHAnsi"/>
          <w:b/>
          <w:bCs/>
          <w:i/>
          <w:sz w:val="24"/>
          <w:szCs w:val="24"/>
        </w:rPr>
      </w:pPr>
      <w:r w:rsidRPr="002C6072">
        <w:rPr>
          <w:rFonts w:cstheme="minorHAnsi"/>
          <w:b/>
          <w:bCs/>
          <w:i/>
          <w:sz w:val="24"/>
          <w:szCs w:val="24"/>
        </w:rPr>
        <w:t>To treat an individual or a group of people less favourably than others because of their race, colour, nationality, ethnic origin or disability.’</w:t>
      </w:r>
    </w:p>
    <w:p w:rsidRPr="002C6072" w:rsidR="00646049" w:rsidP="00646049" w:rsidRDefault="00646049" w14:paraId="755FEE34" w14:textId="77777777">
      <w:pPr>
        <w:jc w:val="both"/>
        <w:rPr>
          <w:rFonts w:cstheme="minorHAnsi"/>
          <w:bCs/>
          <w:sz w:val="24"/>
          <w:szCs w:val="24"/>
        </w:rPr>
      </w:pPr>
      <w:r w:rsidRPr="002C6072">
        <w:rPr>
          <w:rFonts w:cstheme="minorHAnsi"/>
          <w:bCs/>
          <w:sz w:val="24"/>
          <w:szCs w:val="24"/>
        </w:rPr>
        <w:t>There are seven kinds of discrimination:</w:t>
      </w:r>
    </w:p>
    <w:p w:rsidRPr="002C6072" w:rsidR="00646049" w:rsidP="00646049" w:rsidRDefault="00646049" w14:paraId="10A35744" w14:textId="7777777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C6072">
        <w:rPr>
          <w:rFonts w:cstheme="minorHAnsi"/>
          <w:bCs/>
          <w:sz w:val="24"/>
          <w:szCs w:val="24"/>
        </w:rPr>
        <w:t>Direct Discrimination</w:t>
      </w:r>
    </w:p>
    <w:p w:rsidRPr="002C6072" w:rsidR="00646049" w:rsidP="00646049" w:rsidRDefault="00646049" w14:paraId="65577EE1" w14:textId="7777777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C6072">
        <w:rPr>
          <w:rFonts w:cstheme="minorHAnsi"/>
          <w:bCs/>
          <w:sz w:val="24"/>
          <w:szCs w:val="24"/>
        </w:rPr>
        <w:t>Indirect Discrimination</w:t>
      </w:r>
    </w:p>
    <w:p w:rsidRPr="002C6072" w:rsidR="00646049" w:rsidP="00646049" w:rsidRDefault="00646049" w14:paraId="68AB59E6" w14:textId="7777777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C6072">
        <w:rPr>
          <w:rFonts w:cstheme="minorHAnsi"/>
          <w:bCs/>
          <w:sz w:val="24"/>
          <w:szCs w:val="24"/>
        </w:rPr>
        <w:t>Discrimination by Association</w:t>
      </w:r>
    </w:p>
    <w:p w:rsidRPr="002C6072" w:rsidR="00646049" w:rsidP="00646049" w:rsidRDefault="00646049" w14:paraId="10A4B66E" w14:textId="7777777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C6072">
        <w:rPr>
          <w:rFonts w:cstheme="minorHAnsi"/>
          <w:bCs/>
          <w:sz w:val="24"/>
          <w:szCs w:val="24"/>
        </w:rPr>
        <w:t>Perception Discrimination</w:t>
      </w:r>
    </w:p>
    <w:p w:rsidRPr="002C6072" w:rsidR="00646049" w:rsidP="00646049" w:rsidRDefault="00646049" w14:paraId="19F766B1" w14:textId="7777777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C6072">
        <w:rPr>
          <w:rFonts w:cstheme="minorHAnsi"/>
          <w:bCs/>
          <w:sz w:val="24"/>
          <w:szCs w:val="24"/>
        </w:rPr>
        <w:t>Harassment</w:t>
      </w:r>
    </w:p>
    <w:p w:rsidRPr="002C6072" w:rsidR="00646049" w:rsidP="00646049" w:rsidRDefault="00646049" w14:paraId="432B47C7" w14:textId="7777777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C6072">
        <w:rPr>
          <w:rFonts w:cstheme="minorHAnsi"/>
          <w:bCs/>
          <w:sz w:val="24"/>
          <w:szCs w:val="24"/>
        </w:rPr>
        <w:t>Third Party Harassment</w:t>
      </w:r>
    </w:p>
    <w:p w:rsidRPr="002C6072" w:rsidR="00646049" w:rsidP="00646049" w:rsidRDefault="00646049" w14:paraId="6E6D6EF6" w14:textId="7777777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C6072">
        <w:rPr>
          <w:rFonts w:cstheme="minorHAnsi"/>
          <w:bCs/>
          <w:sz w:val="24"/>
          <w:szCs w:val="24"/>
        </w:rPr>
        <w:t>Victimisation</w:t>
      </w:r>
    </w:p>
    <w:p w:rsidR="006B05F7" w:rsidP="00646049" w:rsidRDefault="006B05F7" w14:paraId="10B1F564" w14:textId="77777777">
      <w:pPr>
        <w:jc w:val="both"/>
        <w:rPr>
          <w:rFonts w:cstheme="minorHAnsi"/>
          <w:bCs/>
          <w:sz w:val="24"/>
          <w:szCs w:val="24"/>
        </w:rPr>
      </w:pPr>
    </w:p>
    <w:p w:rsidRPr="002C6072" w:rsidR="00646049" w:rsidP="00646049" w:rsidRDefault="00646049" w14:paraId="731E1A8F" w14:textId="69814042">
      <w:pPr>
        <w:jc w:val="both"/>
        <w:rPr>
          <w:rFonts w:cstheme="minorHAnsi"/>
          <w:bCs/>
          <w:sz w:val="24"/>
          <w:szCs w:val="24"/>
        </w:rPr>
      </w:pPr>
      <w:r w:rsidRPr="002C6072">
        <w:rPr>
          <w:rFonts w:cstheme="minorHAnsi"/>
          <w:bCs/>
          <w:sz w:val="24"/>
          <w:szCs w:val="24"/>
        </w:rPr>
        <w:t>The Equality Act 2010 name</w:t>
      </w:r>
      <w:r w:rsidR="006B05F7">
        <w:rPr>
          <w:rFonts w:cstheme="minorHAnsi"/>
          <w:bCs/>
          <w:sz w:val="24"/>
          <w:szCs w:val="24"/>
        </w:rPr>
        <w:t>s</w:t>
      </w:r>
      <w:r w:rsidRPr="002C6072">
        <w:rPr>
          <w:rFonts w:cstheme="minorHAnsi"/>
          <w:bCs/>
          <w:sz w:val="24"/>
          <w:szCs w:val="24"/>
        </w:rPr>
        <w:t xml:space="preserve"> nine protected characteristics and </w:t>
      </w:r>
      <w:r w:rsidR="006B05F7">
        <w:rPr>
          <w:rFonts w:cstheme="minorHAnsi"/>
          <w:bCs/>
          <w:sz w:val="24"/>
          <w:szCs w:val="24"/>
        </w:rPr>
        <w:t>F&amp;LCL</w:t>
      </w:r>
      <w:r w:rsidRPr="002C6072">
        <w:rPr>
          <w:rFonts w:cstheme="minorHAnsi"/>
          <w:bCs/>
          <w:sz w:val="24"/>
          <w:szCs w:val="24"/>
        </w:rPr>
        <w:t xml:space="preserve"> uses these in its policy. They are:</w:t>
      </w:r>
    </w:p>
    <w:p w:rsidRPr="002C6072" w:rsidR="00646049" w:rsidP="00646049" w:rsidRDefault="00646049" w14:paraId="13AED613" w14:textId="77777777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C6072">
        <w:rPr>
          <w:rFonts w:cstheme="minorHAnsi"/>
          <w:bCs/>
          <w:sz w:val="24"/>
          <w:szCs w:val="24"/>
        </w:rPr>
        <w:t>Age</w:t>
      </w:r>
    </w:p>
    <w:p w:rsidRPr="002C6072" w:rsidR="00646049" w:rsidP="00646049" w:rsidRDefault="00646049" w14:paraId="355754A5" w14:textId="77777777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C6072">
        <w:rPr>
          <w:rFonts w:cstheme="minorHAnsi"/>
          <w:bCs/>
          <w:sz w:val="24"/>
          <w:szCs w:val="24"/>
        </w:rPr>
        <w:t>Disability</w:t>
      </w:r>
    </w:p>
    <w:p w:rsidRPr="002C6072" w:rsidR="00646049" w:rsidP="00646049" w:rsidRDefault="00646049" w14:paraId="72570B31" w14:textId="77777777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C6072">
        <w:rPr>
          <w:rFonts w:cstheme="minorHAnsi"/>
          <w:bCs/>
          <w:sz w:val="24"/>
          <w:szCs w:val="24"/>
        </w:rPr>
        <w:t>Gender Reassignment</w:t>
      </w:r>
    </w:p>
    <w:p w:rsidRPr="002C6072" w:rsidR="00646049" w:rsidP="00646049" w:rsidRDefault="00646049" w14:paraId="10553B0F" w14:textId="77777777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C6072">
        <w:rPr>
          <w:rFonts w:cstheme="minorHAnsi"/>
          <w:bCs/>
          <w:sz w:val="24"/>
          <w:szCs w:val="24"/>
        </w:rPr>
        <w:t>Marriage and Civil Partnership</w:t>
      </w:r>
    </w:p>
    <w:p w:rsidRPr="002C6072" w:rsidR="00646049" w:rsidP="00646049" w:rsidRDefault="00646049" w14:paraId="30C7636D" w14:textId="77777777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C6072">
        <w:rPr>
          <w:rFonts w:cstheme="minorHAnsi"/>
          <w:bCs/>
          <w:sz w:val="24"/>
          <w:szCs w:val="24"/>
        </w:rPr>
        <w:t>Pregnancy and Maternity</w:t>
      </w:r>
    </w:p>
    <w:p w:rsidRPr="002C6072" w:rsidR="00646049" w:rsidP="00646049" w:rsidRDefault="00646049" w14:paraId="6C3E102E" w14:textId="77777777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C6072">
        <w:rPr>
          <w:rFonts w:cstheme="minorHAnsi"/>
          <w:bCs/>
          <w:sz w:val="24"/>
          <w:szCs w:val="24"/>
        </w:rPr>
        <w:t>Race</w:t>
      </w:r>
    </w:p>
    <w:p w:rsidRPr="002C6072" w:rsidR="00646049" w:rsidP="00646049" w:rsidRDefault="00646049" w14:paraId="23FFAEC5" w14:textId="77777777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C6072">
        <w:rPr>
          <w:rFonts w:cstheme="minorHAnsi"/>
          <w:bCs/>
          <w:sz w:val="24"/>
          <w:szCs w:val="24"/>
        </w:rPr>
        <w:t>Religion and Belief</w:t>
      </w:r>
    </w:p>
    <w:p w:rsidRPr="002C6072" w:rsidR="00646049" w:rsidP="00646049" w:rsidRDefault="00646049" w14:paraId="22E0915D" w14:textId="77777777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C6072">
        <w:rPr>
          <w:rFonts w:cstheme="minorHAnsi"/>
          <w:bCs/>
          <w:sz w:val="24"/>
          <w:szCs w:val="24"/>
        </w:rPr>
        <w:t>Sex</w:t>
      </w:r>
    </w:p>
    <w:p w:rsidRPr="002C6072" w:rsidR="00646049" w:rsidP="00646049" w:rsidRDefault="00646049" w14:paraId="1C354F70" w14:textId="77777777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C6072">
        <w:rPr>
          <w:rFonts w:cstheme="minorHAnsi"/>
          <w:bCs/>
          <w:sz w:val="24"/>
          <w:szCs w:val="24"/>
        </w:rPr>
        <w:t>Sexual Orientation</w:t>
      </w:r>
    </w:p>
    <w:p w:rsidRPr="002C6072" w:rsidR="00646049" w:rsidP="00646049" w:rsidRDefault="00646049" w14:paraId="44354D6F" w14:textId="77777777">
      <w:pPr>
        <w:jc w:val="both"/>
        <w:rPr>
          <w:rFonts w:cstheme="minorHAnsi"/>
          <w:bCs/>
          <w:sz w:val="24"/>
          <w:szCs w:val="24"/>
        </w:rPr>
      </w:pPr>
    </w:p>
    <w:p w:rsidR="006B05F7" w:rsidP="00646049" w:rsidRDefault="006B05F7" w14:paraId="562F4179" w14:textId="77777777">
      <w:pPr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6B05F7" w:rsidP="00646049" w:rsidRDefault="006B05F7" w14:paraId="20156A1F" w14:textId="77777777">
      <w:pPr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2C6072" w:rsidR="00646049" w:rsidP="00646049" w:rsidRDefault="00646049" w14:paraId="4BE87BAE" w14:textId="6DEFB591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2C6072">
        <w:rPr>
          <w:rFonts w:cstheme="minorHAnsi"/>
          <w:b/>
          <w:bCs/>
          <w:sz w:val="24"/>
          <w:szCs w:val="24"/>
          <w:u w:val="single"/>
        </w:rPr>
        <w:lastRenderedPageBreak/>
        <w:t>RESONSIBILITY FOR THE POLICY:</w:t>
      </w:r>
    </w:p>
    <w:p w:rsidR="006B05F7" w:rsidP="00646049" w:rsidRDefault="00646049" w14:paraId="41885564" w14:textId="77777777">
      <w:pPr>
        <w:jc w:val="both"/>
        <w:rPr>
          <w:rFonts w:cstheme="minorHAnsi"/>
          <w:bCs/>
          <w:sz w:val="24"/>
          <w:szCs w:val="24"/>
        </w:rPr>
      </w:pPr>
      <w:r w:rsidRPr="002C6072">
        <w:rPr>
          <w:rFonts w:cstheme="minorHAnsi"/>
          <w:bCs/>
          <w:sz w:val="24"/>
          <w:szCs w:val="24"/>
        </w:rPr>
        <w:t xml:space="preserve">The </w:t>
      </w:r>
      <w:r w:rsidR="006B05F7">
        <w:rPr>
          <w:rFonts w:cstheme="minorHAnsi"/>
          <w:bCs/>
          <w:sz w:val="24"/>
          <w:szCs w:val="24"/>
        </w:rPr>
        <w:t>Director of F&amp;LCL</w:t>
      </w:r>
      <w:r w:rsidRPr="002C6072">
        <w:rPr>
          <w:rFonts w:cstheme="minorHAnsi"/>
          <w:bCs/>
          <w:sz w:val="24"/>
          <w:szCs w:val="24"/>
        </w:rPr>
        <w:t xml:space="preserve"> has overall responsibility for the effective implementation of the policy.  </w:t>
      </w:r>
    </w:p>
    <w:p w:rsidRPr="002C6072" w:rsidR="00646049" w:rsidP="00646049" w:rsidRDefault="00646049" w14:paraId="441C8957" w14:textId="0A9642AB">
      <w:pPr>
        <w:jc w:val="both"/>
        <w:rPr>
          <w:rFonts w:cstheme="minorHAnsi"/>
          <w:bCs/>
          <w:sz w:val="24"/>
          <w:szCs w:val="24"/>
        </w:rPr>
      </w:pPr>
      <w:r w:rsidRPr="002C6072">
        <w:rPr>
          <w:rFonts w:cstheme="minorHAnsi"/>
          <w:bCs/>
          <w:sz w:val="24"/>
          <w:szCs w:val="24"/>
        </w:rPr>
        <w:t xml:space="preserve">Everyone involved with </w:t>
      </w:r>
      <w:r w:rsidR="006B05F7">
        <w:rPr>
          <w:rFonts w:cstheme="minorHAnsi"/>
          <w:bCs/>
          <w:sz w:val="24"/>
          <w:szCs w:val="24"/>
        </w:rPr>
        <w:t>F&amp;LCL</w:t>
      </w:r>
      <w:r w:rsidRPr="002C6072">
        <w:rPr>
          <w:rFonts w:cstheme="minorHAnsi"/>
          <w:bCs/>
          <w:sz w:val="24"/>
          <w:szCs w:val="24"/>
        </w:rPr>
        <w:t xml:space="preserve"> is expected to support and work within the policy.</w:t>
      </w:r>
    </w:p>
    <w:p w:rsidRPr="002C6072" w:rsidR="00646049" w:rsidP="00646049" w:rsidRDefault="00646049" w14:paraId="40E801C0" w14:textId="77777777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2C6072">
        <w:rPr>
          <w:rFonts w:cstheme="minorHAnsi"/>
          <w:b/>
          <w:bCs/>
          <w:sz w:val="24"/>
          <w:szCs w:val="24"/>
          <w:u w:val="single"/>
        </w:rPr>
        <w:t>POLICY STATEMENT</w:t>
      </w:r>
    </w:p>
    <w:p w:rsidRPr="002C6072" w:rsidR="00646049" w:rsidP="00646049" w:rsidRDefault="006B05F7" w14:paraId="6743FC3F" w14:textId="6595A00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F&amp;LCL</w:t>
      </w:r>
      <w:r w:rsidRPr="002C6072" w:rsidR="00646049">
        <w:rPr>
          <w:rFonts w:cstheme="minorHAnsi"/>
          <w:sz w:val="24"/>
          <w:szCs w:val="24"/>
        </w:rPr>
        <w:t xml:space="preserve"> is committed to preventing discrimination and actively promoting equal opportunities and diversity issues in the delivery of services, employment, and the management of staff and volunteers.</w:t>
      </w:r>
    </w:p>
    <w:p w:rsidRPr="002C6072" w:rsidR="00646049" w:rsidP="00646049" w:rsidRDefault="00646049" w14:paraId="3630F78C" w14:textId="2CD6723D">
      <w:pPr>
        <w:jc w:val="both"/>
        <w:rPr>
          <w:rFonts w:cstheme="minorHAnsi"/>
          <w:sz w:val="24"/>
          <w:szCs w:val="24"/>
        </w:rPr>
      </w:pPr>
      <w:r w:rsidRPr="002C6072">
        <w:rPr>
          <w:rFonts w:cstheme="minorHAnsi"/>
          <w:sz w:val="24"/>
          <w:szCs w:val="24"/>
        </w:rPr>
        <w:t>The aim of our policy and procedure is to ensure that no service user, staff member</w:t>
      </w:r>
      <w:r w:rsidR="006B05F7">
        <w:rPr>
          <w:rFonts w:cstheme="minorHAnsi"/>
          <w:sz w:val="24"/>
          <w:szCs w:val="24"/>
        </w:rPr>
        <w:t xml:space="preserve">, </w:t>
      </w:r>
      <w:r w:rsidRPr="002C6072">
        <w:rPr>
          <w:rFonts w:cstheme="minorHAnsi"/>
          <w:sz w:val="24"/>
          <w:szCs w:val="24"/>
        </w:rPr>
        <w:t xml:space="preserve">volunteer, applicant, or visitor receives less favourable treatment at any point during their contact with </w:t>
      </w:r>
      <w:r w:rsidR="006B05F7">
        <w:rPr>
          <w:rFonts w:cstheme="minorHAnsi"/>
          <w:sz w:val="24"/>
          <w:szCs w:val="24"/>
        </w:rPr>
        <w:t>F&amp;LCL</w:t>
      </w:r>
    </w:p>
    <w:p w:rsidRPr="002C6072" w:rsidR="00646049" w:rsidP="00646049" w:rsidRDefault="00646049" w14:paraId="64C1F60B" w14:textId="0284DD45">
      <w:pPr>
        <w:jc w:val="both"/>
        <w:rPr>
          <w:rFonts w:cstheme="minorHAnsi"/>
          <w:sz w:val="24"/>
          <w:szCs w:val="24"/>
        </w:rPr>
      </w:pPr>
      <w:r w:rsidRPr="002C6072">
        <w:rPr>
          <w:rFonts w:cstheme="minorHAnsi"/>
          <w:sz w:val="24"/>
          <w:szCs w:val="24"/>
        </w:rPr>
        <w:t xml:space="preserve">In applying our policy </w:t>
      </w:r>
      <w:r w:rsidR="006B05F7">
        <w:rPr>
          <w:rFonts w:cstheme="minorHAnsi"/>
          <w:sz w:val="24"/>
          <w:szCs w:val="24"/>
        </w:rPr>
        <w:t>F&amp;LCL</w:t>
      </w:r>
      <w:r w:rsidRPr="002C6072">
        <w:rPr>
          <w:rFonts w:cstheme="minorHAnsi"/>
          <w:sz w:val="24"/>
          <w:szCs w:val="24"/>
        </w:rPr>
        <w:t xml:space="preserve"> uses the nine protected characteristics that are covered by the Equality Act 2010.</w:t>
      </w:r>
    </w:p>
    <w:p w:rsidRPr="002C6072" w:rsidR="00646049" w:rsidP="00646049" w:rsidRDefault="006B05F7" w14:paraId="0008EE53" w14:textId="04552FB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F&amp;LCL </w:t>
      </w:r>
      <w:r w:rsidRPr="002C6072" w:rsidR="00646049">
        <w:rPr>
          <w:rFonts w:cstheme="minorHAnsi"/>
          <w:sz w:val="24"/>
          <w:szCs w:val="24"/>
        </w:rPr>
        <w:t xml:space="preserve">will promote equality and diversity across </w:t>
      </w:r>
      <w:proofErr w:type="gramStart"/>
      <w:r w:rsidRPr="002C6072" w:rsidR="00646049">
        <w:rPr>
          <w:rFonts w:cstheme="minorHAnsi"/>
          <w:sz w:val="24"/>
          <w:szCs w:val="24"/>
        </w:rPr>
        <w:t>all of</w:t>
      </w:r>
      <w:proofErr w:type="gramEnd"/>
      <w:r w:rsidRPr="002C6072" w:rsidR="00646049">
        <w:rPr>
          <w:rFonts w:cstheme="minorHAnsi"/>
          <w:sz w:val="24"/>
          <w:szCs w:val="24"/>
        </w:rPr>
        <w:t xml:space="preserve"> the work that it is involved in and it will ensure that:</w:t>
      </w:r>
    </w:p>
    <w:p w:rsidRPr="002C6072" w:rsidR="00646049" w:rsidP="00646049" w:rsidRDefault="00646049" w14:paraId="5DBEB7D8" w14:textId="77777777">
      <w:pPr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C6072">
        <w:rPr>
          <w:rFonts w:cstheme="minorHAnsi"/>
          <w:sz w:val="24"/>
          <w:szCs w:val="24"/>
        </w:rPr>
        <w:t>We work with people in our services to promote fairness and equality in their lives.</w:t>
      </w:r>
    </w:p>
    <w:p w:rsidRPr="002C6072" w:rsidR="00646049" w:rsidP="00646049" w:rsidRDefault="00646049" w14:paraId="789FBB19" w14:textId="77777777">
      <w:pPr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C6072">
        <w:rPr>
          <w:rFonts w:cstheme="minorHAnsi"/>
          <w:sz w:val="24"/>
          <w:szCs w:val="24"/>
        </w:rPr>
        <w:t>Everyone in the organisation recognises the need to value differences between people.</w:t>
      </w:r>
    </w:p>
    <w:p w:rsidRPr="002C6072" w:rsidR="00646049" w:rsidP="104910F4" w:rsidRDefault="00646049" w14:paraId="22D9A1EC" w14:textId="77777777" w14:noSpellErr="1">
      <w:pPr>
        <w:numPr>
          <w:ilvl w:val="0"/>
          <w:numId w:val="23"/>
        </w:numPr>
        <w:spacing w:after="0" w:line="240" w:lineRule="auto"/>
        <w:jc w:val="both"/>
        <w:rPr>
          <w:rFonts w:cs="Calibri" w:cstheme="minorAscii"/>
          <w:sz w:val="24"/>
          <w:szCs w:val="24"/>
        </w:rPr>
      </w:pPr>
      <w:r w:rsidRPr="104910F4" w:rsidR="104910F4">
        <w:rPr>
          <w:rFonts w:cs="Calibri" w:cstheme="minorAscii"/>
          <w:sz w:val="24"/>
          <w:szCs w:val="24"/>
        </w:rPr>
        <w:t xml:space="preserve">Everyone in the organisation ensures that individual needs are met, </w:t>
      </w:r>
      <w:r w:rsidRPr="104910F4" w:rsidR="104910F4">
        <w:rPr>
          <w:rFonts w:cs="Calibri" w:cstheme="minorAscii"/>
          <w:sz w:val="24"/>
          <w:szCs w:val="24"/>
        </w:rPr>
        <w:t>with regard to</w:t>
      </w:r>
      <w:r w:rsidRPr="104910F4" w:rsidR="104910F4">
        <w:rPr>
          <w:rFonts w:cs="Calibri" w:cstheme="minorAscii"/>
          <w:sz w:val="24"/>
          <w:szCs w:val="24"/>
        </w:rPr>
        <w:t xml:space="preserve"> individual differences, as far as possible.</w:t>
      </w:r>
    </w:p>
    <w:p w:rsidRPr="002C6072" w:rsidR="00646049" w:rsidP="00646049" w:rsidRDefault="00646049" w14:paraId="1225ADAF" w14:textId="6AF4297F">
      <w:pPr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C6072">
        <w:rPr>
          <w:rFonts w:cstheme="minorHAnsi"/>
          <w:sz w:val="24"/>
          <w:szCs w:val="24"/>
        </w:rPr>
        <w:t>All</w:t>
      </w:r>
      <w:r w:rsidR="006B05F7">
        <w:rPr>
          <w:rFonts w:cstheme="minorHAnsi"/>
          <w:sz w:val="24"/>
          <w:szCs w:val="24"/>
        </w:rPr>
        <w:t xml:space="preserve"> staff</w:t>
      </w:r>
      <w:r w:rsidRPr="002C6072">
        <w:rPr>
          <w:rFonts w:cstheme="minorHAnsi"/>
          <w:sz w:val="24"/>
          <w:szCs w:val="24"/>
        </w:rPr>
        <w:t xml:space="preserve"> are appropriately trained</w:t>
      </w:r>
      <w:r w:rsidR="006B05F7">
        <w:rPr>
          <w:rFonts w:cstheme="minorHAnsi"/>
          <w:sz w:val="24"/>
          <w:szCs w:val="24"/>
        </w:rPr>
        <w:t>, s</w:t>
      </w:r>
      <w:r w:rsidRPr="002C6072">
        <w:rPr>
          <w:rFonts w:cstheme="minorHAnsi"/>
          <w:sz w:val="24"/>
          <w:szCs w:val="24"/>
        </w:rPr>
        <w:t>o that they understand the importance of equality of opportunity and diversity in service delivery and employment.</w:t>
      </w:r>
    </w:p>
    <w:p w:rsidRPr="002C6072" w:rsidR="00646049" w:rsidP="00646049" w:rsidRDefault="006B05F7" w14:paraId="4A84C8F9" w14:textId="579165F6">
      <w:pPr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Everyone </w:t>
      </w:r>
      <w:r w:rsidRPr="002C6072" w:rsidR="00646049">
        <w:rPr>
          <w:rFonts w:cstheme="minorHAnsi"/>
          <w:sz w:val="24"/>
          <w:szCs w:val="24"/>
        </w:rPr>
        <w:t>understand</w:t>
      </w:r>
      <w:r>
        <w:rPr>
          <w:rFonts w:cstheme="minorHAnsi"/>
          <w:sz w:val="24"/>
          <w:szCs w:val="24"/>
        </w:rPr>
        <w:t>s</w:t>
      </w:r>
      <w:r w:rsidRPr="002C6072" w:rsidR="00646049">
        <w:rPr>
          <w:rFonts w:cstheme="minorHAnsi"/>
          <w:sz w:val="24"/>
          <w:szCs w:val="24"/>
        </w:rPr>
        <w:t xml:space="preserve"> their responsibility for carrying out the policy.</w:t>
      </w:r>
    </w:p>
    <w:p w:rsidRPr="002C6072" w:rsidR="00646049" w:rsidP="00646049" w:rsidRDefault="00646049" w14:paraId="631ECD59" w14:textId="34CAABA4">
      <w:pPr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C6072">
        <w:rPr>
          <w:rFonts w:cstheme="minorHAnsi"/>
          <w:sz w:val="24"/>
          <w:szCs w:val="24"/>
        </w:rPr>
        <w:t>No service user, employee,</w:t>
      </w:r>
      <w:r w:rsidR="006B05F7">
        <w:rPr>
          <w:rFonts w:cstheme="minorHAnsi"/>
          <w:sz w:val="24"/>
          <w:szCs w:val="24"/>
        </w:rPr>
        <w:t xml:space="preserve"> </w:t>
      </w:r>
      <w:r w:rsidRPr="002C6072">
        <w:rPr>
          <w:rFonts w:cstheme="minorHAnsi"/>
          <w:sz w:val="24"/>
          <w:szCs w:val="24"/>
        </w:rPr>
        <w:t>volunteer, carer</w:t>
      </w:r>
      <w:r w:rsidR="006B05F7">
        <w:rPr>
          <w:rFonts w:cstheme="minorHAnsi"/>
          <w:sz w:val="24"/>
          <w:szCs w:val="24"/>
        </w:rPr>
        <w:t>/family member, advocate</w:t>
      </w:r>
      <w:r w:rsidRPr="002C6072">
        <w:rPr>
          <w:rFonts w:cstheme="minorHAnsi"/>
          <w:sz w:val="24"/>
          <w:szCs w:val="24"/>
        </w:rPr>
        <w:t>, or job applicant is either directly or indirectly discriminated against.</w:t>
      </w:r>
    </w:p>
    <w:p w:rsidRPr="002C6072" w:rsidR="00646049" w:rsidP="00646049" w:rsidRDefault="00646049" w14:paraId="5ED679C3" w14:textId="60CA6EC6">
      <w:pPr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C6072">
        <w:rPr>
          <w:rFonts w:cstheme="minorHAnsi"/>
          <w:sz w:val="24"/>
          <w:szCs w:val="24"/>
        </w:rPr>
        <w:t>We aim for our staff members,</w:t>
      </w:r>
      <w:r w:rsidR="006B05F7">
        <w:rPr>
          <w:rFonts w:cstheme="minorHAnsi"/>
          <w:sz w:val="24"/>
          <w:szCs w:val="24"/>
        </w:rPr>
        <w:t xml:space="preserve"> </w:t>
      </w:r>
      <w:r w:rsidRPr="002C6072">
        <w:rPr>
          <w:rFonts w:cstheme="minorHAnsi"/>
          <w:sz w:val="24"/>
          <w:szCs w:val="24"/>
        </w:rPr>
        <w:t>managers and volunteers to reflect and broadly represent the wider community.</w:t>
      </w:r>
    </w:p>
    <w:p w:rsidRPr="002C6072" w:rsidR="00646049" w:rsidP="104910F4" w:rsidRDefault="00646049" w14:paraId="650A09B3" w14:noSpellErr="1" w14:textId="60F2B7FE">
      <w:pPr>
        <w:numPr>
          <w:ilvl w:val="0"/>
          <w:numId w:val="23"/>
        </w:numPr>
        <w:spacing w:after="0" w:line="240" w:lineRule="auto"/>
        <w:jc w:val="both"/>
        <w:rPr>
          <w:rFonts w:cs="Calibri" w:cstheme="minorAscii"/>
          <w:sz w:val="24"/>
          <w:szCs w:val="24"/>
        </w:rPr>
      </w:pPr>
      <w:r w:rsidRPr="104910F4" w:rsidR="104910F4">
        <w:rPr>
          <w:rFonts w:cs="Calibri" w:cstheme="minorAscii"/>
          <w:sz w:val="24"/>
          <w:szCs w:val="24"/>
        </w:rPr>
        <w:t>Several</w:t>
      </w:r>
      <w:r w:rsidRPr="104910F4" w:rsidR="104910F4">
        <w:rPr>
          <w:rFonts w:cs="Calibri" w:cstheme="minorAscii"/>
          <w:sz w:val="24"/>
          <w:szCs w:val="24"/>
        </w:rPr>
        <w:t xml:space="preserve"> procedures ensure that equality and diversity are reflected in all that we do e.g. recruitment and selection procedures, disciplinary procedures.</w:t>
      </w:r>
    </w:p>
    <w:p w:rsidRPr="002C6072" w:rsidR="00646049" w:rsidP="00646049" w:rsidRDefault="00646049" w14:paraId="4D230C64" w14:textId="77777777">
      <w:pPr>
        <w:jc w:val="both"/>
        <w:rPr>
          <w:rFonts w:cstheme="minorHAnsi"/>
          <w:sz w:val="24"/>
          <w:szCs w:val="24"/>
        </w:rPr>
      </w:pPr>
    </w:p>
    <w:p w:rsidRPr="002C6072" w:rsidR="00646049" w:rsidP="00646049" w:rsidRDefault="006B05F7" w14:paraId="549F358A" w14:textId="15CFC02D">
      <w:pPr>
        <w:pStyle w:val="BodyText2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F&amp;LCL’s </w:t>
      </w:r>
      <w:bookmarkStart w:name="_GoBack" w:id="0"/>
      <w:bookmarkEnd w:id="0"/>
      <w:r w:rsidRPr="002C6072" w:rsidR="00646049">
        <w:rPr>
          <w:rFonts w:asciiTheme="minorHAnsi" w:hAnsiTheme="minorHAnsi" w:cstheme="minorHAnsi"/>
          <w:color w:val="auto"/>
        </w:rPr>
        <w:t>Policies and Procedures will comply with – the Human Rights Act 2004 and the Equality Act 2010.</w:t>
      </w:r>
    </w:p>
    <w:p w:rsidRPr="002C6072" w:rsidR="00646049" w:rsidP="00646049" w:rsidRDefault="00646049" w14:paraId="7AD5C778" w14:textId="77777777">
      <w:pPr>
        <w:jc w:val="both"/>
        <w:rPr>
          <w:rFonts w:cstheme="minorHAnsi"/>
          <w:sz w:val="24"/>
          <w:szCs w:val="24"/>
        </w:rPr>
      </w:pPr>
    </w:p>
    <w:p w:rsidRPr="002C6072" w:rsidR="00646049" w:rsidP="00646049" w:rsidRDefault="00646049" w14:paraId="76524CB6" w14:textId="77777777">
      <w:pPr>
        <w:jc w:val="both"/>
        <w:rPr>
          <w:rFonts w:cstheme="minorHAnsi"/>
          <w:sz w:val="24"/>
          <w:szCs w:val="24"/>
        </w:rPr>
      </w:pPr>
    </w:p>
    <w:p w:rsidRPr="002C6072" w:rsidR="0047168A" w:rsidP="00646049" w:rsidRDefault="0047168A" w14:paraId="32F38BAC" w14:textId="77777777">
      <w:pPr>
        <w:rPr>
          <w:rFonts w:cstheme="minorHAnsi"/>
          <w:sz w:val="24"/>
          <w:szCs w:val="24"/>
        </w:rPr>
      </w:pPr>
    </w:p>
    <w:p w:rsidRPr="002C6072" w:rsidR="002C6072" w:rsidRDefault="002C6072" w14:paraId="498F90F6" w14:textId="77777777">
      <w:pPr>
        <w:rPr>
          <w:rFonts w:cstheme="minorHAnsi"/>
          <w:sz w:val="24"/>
          <w:szCs w:val="24"/>
        </w:rPr>
      </w:pPr>
    </w:p>
    <w:sectPr w:rsidRPr="002C6072" w:rsidR="002C6072" w:rsidSect="0047168A">
      <w:pgSz w:w="11906" w:h="16838" w:orient="portrait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2356"/>
    <w:multiLevelType w:val="hybridMultilevel"/>
    <w:tmpl w:val="9E56E360"/>
    <w:lvl w:ilvl="0" w:tplc="0809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" w15:restartNumberingAfterBreak="0">
    <w:nsid w:val="022D1C61"/>
    <w:multiLevelType w:val="hybridMultilevel"/>
    <w:tmpl w:val="B2AE4A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C83935"/>
    <w:multiLevelType w:val="hybridMultilevel"/>
    <w:tmpl w:val="EB9664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Marlett" w:hAnsi="Marlet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Marlett" w:hAnsi="Marlet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Marlett" w:hAnsi="Marlett"/>
      </w:rPr>
    </w:lvl>
  </w:abstractNum>
  <w:abstractNum w:abstractNumId="3" w15:restartNumberingAfterBreak="0">
    <w:nsid w:val="1850791C"/>
    <w:multiLevelType w:val="hybridMultilevel"/>
    <w:tmpl w:val="F24CD5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C008E2"/>
    <w:multiLevelType w:val="hybridMultilevel"/>
    <w:tmpl w:val="075E0D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156234F"/>
    <w:multiLevelType w:val="hybridMultilevel"/>
    <w:tmpl w:val="1CA6905A"/>
    <w:lvl w:ilvl="0" w:tplc="28688574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38C6069"/>
    <w:multiLevelType w:val="multilevel"/>
    <w:tmpl w:val="C6B82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245C0BAA"/>
    <w:multiLevelType w:val="hybridMultilevel"/>
    <w:tmpl w:val="45CC12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73607B8"/>
    <w:multiLevelType w:val="hybridMultilevel"/>
    <w:tmpl w:val="900213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18878E8"/>
    <w:multiLevelType w:val="hybridMultilevel"/>
    <w:tmpl w:val="732E3C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BB142C8"/>
    <w:multiLevelType w:val="hybridMultilevel"/>
    <w:tmpl w:val="621C22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FB30282"/>
    <w:multiLevelType w:val="hybridMultilevel"/>
    <w:tmpl w:val="74C650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261553E"/>
    <w:multiLevelType w:val="hybridMultilevel"/>
    <w:tmpl w:val="1DACD7B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40B1915"/>
    <w:multiLevelType w:val="hybridMultilevel"/>
    <w:tmpl w:val="FD08DF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1091F9F"/>
    <w:multiLevelType w:val="hybridMultilevel"/>
    <w:tmpl w:val="8B4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3D142E5"/>
    <w:multiLevelType w:val="hybridMultilevel"/>
    <w:tmpl w:val="1E8EB0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4A115E"/>
    <w:multiLevelType w:val="hybridMultilevel"/>
    <w:tmpl w:val="FEDCEC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CF32BCE"/>
    <w:multiLevelType w:val="hybridMultilevel"/>
    <w:tmpl w:val="645A3C82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8" w15:restartNumberingAfterBreak="0">
    <w:nsid w:val="5F643F2F"/>
    <w:multiLevelType w:val="hybridMultilevel"/>
    <w:tmpl w:val="3ED4A0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9C91E1D"/>
    <w:multiLevelType w:val="hybridMultilevel"/>
    <w:tmpl w:val="DE227F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A366BD0"/>
    <w:multiLevelType w:val="hybridMultilevel"/>
    <w:tmpl w:val="BB5EB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067CD"/>
    <w:multiLevelType w:val="hybridMultilevel"/>
    <w:tmpl w:val="E9201F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2FB5E7C"/>
    <w:multiLevelType w:val="hybridMultilevel"/>
    <w:tmpl w:val="2ADEF7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84964F7"/>
    <w:multiLevelType w:val="hybridMultilevel"/>
    <w:tmpl w:val="661A8F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Marlett" w:hAnsi="Marlet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Marlett" w:hAnsi="Marlet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Marlett" w:hAnsi="Marlett"/>
      </w:rPr>
    </w:lvl>
  </w:abstractNum>
  <w:abstractNum w:abstractNumId="24" w15:restartNumberingAfterBreak="0">
    <w:nsid w:val="7D767DC3"/>
    <w:multiLevelType w:val="hybridMultilevel"/>
    <w:tmpl w:val="D32CE0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20"/>
  </w:num>
  <w:num w:numId="3">
    <w:abstractNumId w:val="6"/>
  </w:num>
  <w:num w:numId="4">
    <w:abstractNumId w:val="13"/>
  </w:num>
  <w:num w:numId="5">
    <w:abstractNumId w:val="11"/>
  </w:num>
  <w:num w:numId="6">
    <w:abstractNumId w:val="1"/>
  </w:num>
  <w:num w:numId="7">
    <w:abstractNumId w:val="22"/>
  </w:num>
  <w:num w:numId="8">
    <w:abstractNumId w:val="0"/>
  </w:num>
  <w:num w:numId="9">
    <w:abstractNumId w:val="9"/>
  </w:num>
  <w:num w:numId="10">
    <w:abstractNumId w:val="17"/>
  </w:num>
  <w:num w:numId="11">
    <w:abstractNumId w:val="19"/>
  </w:num>
  <w:num w:numId="12">
    <w:abstractNumId w:val="10"/>
  </w:num>
  <w:num w:numId="13">
    <w:abstractNumId w:val="8"/>
  </w:num>
  <w:num w:numId="14">
    <w:abstractNumId w:val="14"/>
  </w:num>
  <w:num w:numId="15">
    <w:abstractNumId w:val="15"/>
  </w:num>
  <w:num w:numId="16">
    <w:abstractNumId w:val="4"/>
  </w:num>
  <w:num w:numId="17">
    <w:abstractNumId w:val="24"/>
  </w:num>
  <w:num w:numId="18">
    <w:abstractNumId w:val="7"/>
  </w:num>
  <w:num w:numId="19">
    <w:abstractNumId w:val="18"/>
  </w:num>
  <w:num w:numId="20">
    <w:abstractNumId w:val="21"/>
  </w:num>
  <w:num w:numId="21">
    <w:abstractNumId w:val="3"/>
  </w:num>
  <w:num w:numId="22">
    <w:abstractNumId w:val="16"/>
  </w:num>
  <w:num w:numId="23">
    <w:abstractNumId w:val="12"/>
  </w:num>
  <w:num w:numId="24">
    <w:abstractNumId w:val="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4E"/>
    <w:rsid w:val="000B7DFC"/>
    <w:rsid w:val="00131E7F"/>
    <w:rsid w:val="00196DD3"/>
    <w:rsid w:val="0020214D"/>
    <w:rsid w:val="0021424E"/>
    <w:rsid w:val="002367D2"/>
    <w:rsid w:val="00247284"/>
    <w:rsid w:val="002923D8"/>
    <w:rsid w:val="002C6072"/>
    <w:rsid w:val="002D4AA0"/>
    <w:rsid w:val="002F2AD5"/>
    <w:rsid w:val="003017A9"/>
    <w:rsid w:val="003049C8"/>
    <w:rsid w:val="003312F6"/>
    <w:rsid w:val="003B789A"/>
    <w:rsid w:val="003D4C07"/>
    <w:rsid w:val="003F5643"/>
    <w:rsid w:val="00416F08"/>
    <w:rsid w:val="00451819"/>
    <w:rsid w:val="0047168A"/>
    <w:rsid w:val="0051003F"/>
    <w:rsid w:val="0058108C"/>
    <w:rsid w:val="00592FBC"/>
    <w:rsid w:val="005D28EA"/>
    <w:rsid w:val="00613578"/>
    <w:rsid w:val="006228D3"/>
    <w:rsid w:val="00646049"/>
    <w:rsid w:val="0064765A"/>
    <w:rsid w:val="006B05F7"/>
    <w:rsid w:val="006C1A7C"/>
    <w:rsid w:val="006D38CF"/>
    <w:rsid w:val="0072678A"/>
    <w:rsid w:val="0077690C"/>
    <w:rsid w:val="007B18E5"/>
    <w:rsid w:val="007C50AF"/>
    <w:rsid w:val="00800ADE"/>
    <w:rsid w:val="0083398F"/>
    <w:rsid w:val="00846B21"/>
    <w:rsid w:val="00856621"/>
    <w:rsid w:val="00882899"/>
    <w:rsid w:val="00892966"/>
    <w:rsid w:val="008B1654"/>
    <w:rsid w:val="008B457F"/>
    <w:rsid w:val="009063F9"/>
    <w:rsid w:val="00911456"/>
    <w:rsid w:val="00922DC5"/>
    <w:rsid w:val="00944854"/>
    <w:rsid w:val="00956407"/>
    <w:rsid w:val="009C32F4"/>
    <w:rsid w:val="009E222D"/>
    <w:rsid w:val="00A0256E"/>
    <w:rsid w:val="00A33296"/>
    <w:rsid w:val="00A67C37"/>
    <w:rsid w:val="00A9057A"/>
    <w:rsid w:val="00AB1EC8"/>
    <w:rsid w:val="00AD3672"/>
    <w:rsid w:val="00AE5D10"/>
    <w:rsid w:val="00B70AF3"/>
    <w:rsid w:val="00B74823"/>
    <w:rsid w:val="00C16731"/>
    <w:rsid w:val="00C32E22"/>
    <w:rsid w:val="00CE16A6"/>
    <w:rsid w:val="00D1336F"/>
    <w:rsid w:val="00D35454"/>
    <w:rsid w:val="00D44E64"/>
    <w:rsid w:val="00D65476"/>
    <w:rsid w:val="00D7279B"/>
    <w:rsid w:val="00D95C61"/>
    <w:rsid w:val="00DA147B"/>
    <w:rsid w:val="00EC1310"/>
    <w:rsid w:val="00ED11A2"/>
    <w:rsid w:val="00F11DBD"/>
    <w:rsid w:val="00F12A7C"/>
    <w:rsid w:val="00FD1283"/>
    <w:rsid w:val="00FF3FF7"/>
    <w:rsid w:val="1049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C7A6D"/>
  <w15:chartTrackingRefBased/>
  <w15:docId w15:val="{38DCB9C1-0DFC-4751-8718-6B4643DA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6">
    <w:name w:val="heading 6"/>
    <w:basedOn w:val="Normal"/>
    <w:link w:val="Heading6Char"/>
    <w:uiPriority w:val="9"/>
    <w:semiHidden/>
    <w:unhideWhenUsed/>
    <w:qFormat/>
    <w:rsid w:val="00AB1EC8"/>
    <w:pPr>
      <w:spacing w:before="100" w:beforeAutospacing="1" w:after="100" w:afterAutospacing="1" w:line="240" w:lineRule="auto"/>
      <w:outlineLvl w:val="5"/>
    </w:pPr>
    <w:rPr>
      <w:rFonts w:ascii="Calibri" w:hAnsi="Calibri" w:cs="Calibri"/>
      <w:b/>
      <w:bCs/>
      <w:sz w:val="15"/>
      <w:szCs w:val="15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7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17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7A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96DD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82899"/>
    <w:pPr>
      <w:spacing w:after="0" w:line="240" w:lineRule="auto"/>
    </w:pPr>
    <w:rPr>
      <w:rFonts w:ascii="Calibri" w:hAnsi="Calibri" w:cs="Calibri"/>
      <w:lang w:eastAsia="en-GB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B1EC8"/>
    <w:rPr>
      <w:rFonts w:ascii="Calibri" w:hAnsi="Calibri" w:cs="Calibri"/>
      <w:b/>
      <w:bCs/>
      <w:sz w:val="15"/>
      <w:szCs w:val="15"/>
      <w:lang w:eastAsia="en-GB"/>
    </w:rPr>
  </w:style>
  <w:style w:type="table" w:styleId="TableGrid">
    <w:name w:val="Table Grid"/>
    <w:basedOn w:val="TableNormal"/>
    <w:uiPriority w:val="39"/>
    <w:rsid w:val="002F2A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2">
    <w:name w:val="Body Text 2"/>
    <w:basedOn w:val="Normal"/>
    <w:link w:val="BodyText2Char"/>
    <w:semiHidden/>
    <w:rsid w:val="00646049"/>
    <w:pPr>
      <w:spacing w:after="0" w:line="240" w:lineRule="auto"/>
    </w:pPr>
    <w:rPr>
      <w:rFonts w:ascii="Arial" w:hAnsi="Arial" w:eastAsia="Times New Roman" w:cs="Arial"/>
      <w:color w:val="FF0000"/>
      <w:sz w:val="24"/>
      <w:szCs w:val="24"/>
    </w:rPr>
  </w:style>
  <w:style w:type="character" w:styleId="BodyText2Char" w:customStyle="1">
    <w:name w:val="Body Text 2 Char"/>
    <w:basedOn w:val="DefaultParagraphFont"/>
    <w:link w:val="BodyText2"/>
    <w:semiHidden/>
    <w:rsid w:val="00646049"/>
    <w:rPr>
      <w:rFonts w:ascii="Arial" w:hAnsi="Arial" w:eastAsia="Times New Roman" w:cs="Arial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0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C71A1D690D3418E5667B515E5BE29" ma:contentTypeVersion="5" ma:contentTypeDescription="Create a new document." ma:contentTypeScope="" ma:versionID="cce0e526e4d93cb7ca0c3a71b552295d">
  <xsd:schema xmlns:xsd="http://www.w3.org/2001/XMLSchema" xmlns:xs="http://www.w3.org/2001/XMLSchema" xmlns:p="http://schemas.microsoft.com/office/2006/metadata/properties" xmlns:ns2="336e9ece-0188-486d-a87e-547986f1ba75" targetNamespace="http://schemas.microsoft.com/office/2006/metadata/properties" ma:root="true" ma:fieldsID="a4b6dc41c28a6601f25b3ba087e8d272" ns2:_="">
    <xsd:import namespace="336e9ece-0188-486d-a87e-547986f1b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e9ece-0188-486d-a87e-547986f1b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F0334B-3FFD-4BE5-BA0A-C06F248E4ED2}"/>
</file>

<file path=customXml/itemProps2.xml><?xml version="1.0" encoding="utf-8"?>
<ds:datastoreItem xmlns:ds="http://schemas.openxmlformats.org/officeDocument/2006/customXml" ds:itemID="{E2386363-25DC-48C7-92DB-9202E048FE51}"/>
</file>

<file path=customXml/itemProps3.xml><?xml version="1.0" encoding="utf-8"?>
<ds:datastoreItem xmlns:ds="http://schemas.openxmlformats.org/officeDocument/2006/customXml" ds:itemID="{582AE09C-BADB-452A-A8B4-42ADC191222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Jane Ingram</dc:creator>
  <keywords/>
  <dc:description/>
  <lastModifiedBy>Paula Webster</lastModifiedBy>
  <revision>4</revision>
  <lastPrinted>2018-05-24T08:23:00.0000000Z</lastPrinted>
  <dcterms:created xsi:type="dcterms:W3CDTF">2018-08-21T11:56:00.0000000Z</dcterms:created>
  <dcterms:modified xsi:type="dcterms:W3CDTF">2018-09-14T14:34:58.6122255Z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0x0101007BAC71A1D690D3418E5667B515E5BE29</vt:lpwstr>
  </property>
</Properties>
</file>